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CellMar>
          <w:left w:w="0" w:type="dxa"/>
          <w:right w:w="0" w:type="dxa"/>
        </w:tblCellMar>
        <w:tblLook w:val="04A0"/>
      </w:tblPr>
      <w:tblGrid>
        <w:gridCol w:w="8858"/>
      </w:tblGrid>
      <w:tr w:rsidR="00001565" w:rsidTr="00001565">
        <w:trPr>
          <w:trHeight w:val="2404"/>
          <w:tblCellSpacing w:w="37" w:type="dxa"/>
        </w:trPr>
        <w:tc>
          <w:tcPr>
            <w:tcW w:w="4916" w:type="pct"/>
            <w:hideMark/>
          </w:tcPr>
          <w:p w:rsidR="00001565" w:rsidRPr="00C063FC" w:rsidRDefault="00C063FC" w:rsidP="00001565">
            <w:pPr>
              <w:pStyle w:val="NormalWeb"/>
              <w:spacing w:before="0" w:beforeAutospacing="0" w:after="0" w:afterAutospacing="0"/>
              <w:jc w:val="center"/>
              <w:rPr>
                <w:rFonts w:ascii="Arial" w:hAnsi="Arial" w:cs="Arial"/>
                <w:b/>
                <w:bCs/>
                <w:color w:val="1F497D" w:themeColor="text2"/>
              </w:rPr>
            </w:pPr>
            <w:r w:rsidRPr="00C063FC">
              <w:rPr>
                <w:rFonts w:ascii="Arial" w:hAnsi="Arial" w:cs="Arial"/>
                <w:b/>
                <w:bCs/>
                <w:color w:val="1F497D" w:themeColor="text2"/>
              </w:rPr>
              <w:t>IMPOSITIVAS</w:t>
            </w:r>
          </w:p>
          <w:p w:rsidR="00001565" w:rsidRDefault="00001565" w:rsidP="00001565">
            <w:pPr>
              <w:pStyle w:val="NormalWeb"/>
              <w:spacing w:before="0" w:beforeAutospacing="0" w:after="0" w:afterAutospacing="0"/>
              <w:jc w:val="both"/>
              <w:rPr>
                <w:rFonts w:ascii="Arial" w:hAnsi="Arial" w:cs="Arial"/>
                <w:b/>
                <w:bCs/>
                <w:color w:val="7E4F6F"/>
                <w:sz w:val="20"/>
                <w:szCs w:val="20"/>
              </w:rPr>
            </w:pPr>
          </w:p>
          <w:p w:rsidR="0081031F" w:rsidRDefault="0081031F" w:rsidP="0081031F">
            <w:pPr>
              <w:pStyle w:val="NormalWeb"/>
              <w:spacing w:before="0" w:beforeAutospacing="0" w:after="0" w:afterAutospacing="0"/>
              <w:jc w:val="both"/>
              <w:rPr>
                <w:rFonts w:ascii="Arial" w:hAnsi="Arial" w:cs="Arial"/>
                <w:b/>
                <w:bCs/>
                <w:caps/>
                <w:color w:val="376889"/>
                <w:sz w:val="21"/>
                <w:szCs w:val="21"/>
              </w:rPr>
            </w:pPr>
            <w:r w:rsidRPr="0081031F">
              <w:rPr>
                <w:rFonts w:ascii="Arial" w:hAnsi="Arial" w:cs="Arial"/>
                <w:b/>
                <w:bCs/>
                <w:caps/>
                <w:color w:val="002F5D"/>
                <w:sz w:val="21"/>
                <w:szCs w:val="21"/>
              </w:rPr>
              <w:t>Procedimiento Fiscal. Feria fiscal de invierno. Año 2019 - RESOLUCIÓN GENERAL (</w:t>
            </w:r>
            <w:proofErr w:type="spellStart"/>
            <w:r w:rsidRPr="0081031F">
              <w:rPr>
                <w:rFonts w:ascii="Arial" w:hAnsi="Arial" w:cs="Arial"/>
                <w:b/>
                <w:bCs/>
                <w:caps/>
                <w:color w:val="002F5D"/>
                <w:sz w:val="21"/>
                <w:szCs w:val="21"/>
              </w:rPr>
              <w:t>Adm</w:t>
            </w:r>
            <w:proofErr w:type="spellEnd"/>
            <w:r w:rsidRPr="0081031F">
              <w:rPr>
                <w:rFonts w:ascii="Arial" w:hAnsi="Arial" w:cs="Arial"/>
                <w:b/>
                <w:bCs/>
                <w:caps/>
                <w:color w:val="002F5D"/>
                <w:sz w:val="21"/>
                <w:szCs w:val="21"/>
              </w:rPr>
              <w:t>. Fed. Ingresos Públicos) 4516</w:t>
            </w:r>
          </w:p>
          <w:p w:rsidR="00001565" w:rsidRDefault="00001565" w:rsidP="00001565">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 xml:space="preserve"> </w:t>
            </w:r>
          </w:p>
          <w:p w:rsidR="0081031F" w:rsidRDefault="0081031F"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fija entre los días 15 y 26 de julio de 2019, ambas fechas inclusive, el plazo correspondiente a la feria fiscal de invierno.</w:t>
            </w:r>
          </w:p>
          <w:p w:rsidR="00BD76AD" w:rsidRDefault="0081031F"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durante el citado período no se computarán, en el ámbito de la Administración Federal de Ingresos Públicos, los plazos procedimentales por los días hábiles administrativos comprendidos en él</w:t>
            </w:r>
          </w:p>
          <w:p w:rsidR="0081031F" w:rsidRPr="0081031F" w:rsidRDefault="0081031F" w:rsidP="0081031F">
            <w:pPr>
              <w:pStyle w:val="NormalWeb"/>
              <w:spacing w:before="0" w:beforeAutospacing="0" w:after="0" w:afterAutospacing="0" w:line="360" w:lineRule="auto"/>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jc w:val="both"/>
              <w:rPr>
                <w:rFonts w:ascii="Arial" w:hAnsi="Arial" w:cs="Arial"/>
                <w:b/>
                <w:bCs/>
                <w:caps/>
                <w:color w:val="002F5D"/>
                <w:sz w:val="21"/>
                <w:szCs w:val="21"/>
              </w:rPr>
            </w:pPr>
            <w:r w:rsidRPr="0081031F">
              <w:rPr>
                <w:rFonts w:ascii="Arial" w:hAnsi="Arial" w:cs="Arial"/>
                <w:b/>
                <w:bCs/>
                <w:caps/>
                <w:color w:val="002F5D"/>
                <w:sz w:val="21"/>
                <w:szCs w:val="21"/>
              </w:rPr>
              <w:t>Impuesto sobre los Combustibles Líquidos y al Dióxido de Carbono. Incremento escalonado en los montos del impuesto - DECRETO (Poder Ejecutivo) 441/2019</w:t>
            </w:r>
          </w:p>
          <w:p w:rsidR="0081031F" w:rsidRDefault="0081031F" w:rsidP="0081031F">
            <w:pPr>
              <w:pStyle w:val="NormalWeb"/>
              <w:spacing w:before="0" w:beforeAutospacing="0" w:after="0" w:afterAutospacing="0"/>
              <w:jc w:val="both"/>
              <w:rPr>
                <w:rFonts w:ascii="Arial" w:hAnsi="Arial" w:cs="Arial"/>
                <w:b/>
                <w:bCs/>
                <w:caps/>
                <w:color w:val="376889"/>
                <w:sz w:val="21"/>
                <w:szCs w:val="21"/>
              </w:rPr>
            </w:pPr>
          </w:p>
          <w:p w:rsidR="0081031F" w:rsidRDefault="0081031F"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establece un incremento escalonado de los montos aplicables al impuesto sobre los combustibles líquidos, desdoblando el incremento trimestral en dos etapas, según el siguiente detalle: </w:t>
            </w:r>
            <w:r>
              <w:rPr>
                <w:rFonts w:ascii="Arial" w:eastAsia="Times New Roman" w:hAnsi="Arial" w:cs="Arial"/>
                <w:color w:val="666666"/>
                <w:sz w:val="20"/>
                <w:szCs w:val="20"/>
              </w:rPr>
              <w:br/>
              <w:t>- Hechos imponibles que se perfeccionen entre el 1/7/2019 y el 31/7/2019: un incremento del 3,95% en el monto del impuesto;</w:t>
            </w:r>
          </w:p>
          <w:p w:rsidR="0081031F" w:rsidRDefault="0081031F" w:rsidP="0081031F">
            <w:pPr>
              <w:pStyle w:val="NormalWeb"/>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20"/>
                <w:szCs w:val="20"/>
              </w:rPr>
              <w:t>- Hechos imponibles que se perfeccionen desde el 1/8/2019: se deberá considerar el incremento total en los montos del impuesto, calculado sobre la base de la variación trimestral del IPC.</w:t>
            </w:r>
          </w:p>
          <w:p w:rsidR="00C063FC" w:rsidRPr="00F33E33" w:rsidRDefault="00C063FC" w:rsidP="00C063FC"/>
          <w:p w:rsidR="0081031F" w:rsidRPr="0081031F" w:rsidRDefault="0081031F" w:rsidP="0081031F">
            <w:pPr>
              <w:pStyle w:val="NormalWeb"/>
              <w:spacing w:before="0" w:beforeAutospacing="0" w:after="0" w:afterAutospacing="0"/>
              <w:jc w:val="both"/>
              <w:rPr>
                <w:rFonts w:ascii="Arial" w:hAnsi="Arial" w:cs="Arial"/>
                <w:b/>
                <w:bCs/>
                <w:caps/>
                <w:color w:val="002F5D"/>
                <w:sz w:val="21"/>
                <w:szCs w:val="21"/>
              </w:rPr>
            </w:pPr>
            <w:r w:rsidRPr="0081031F">
              <w:rPr>
                <w:rFonts w:ascii="Arial" w:hAnsi="Arial" w:cs="Arial"/>
                <w:b/>
                <w:bCs/>
                <w:caps/>
                <w:color w:val="002F5D"/>
                <w:sz w:val="21"/>
                <w:szCs w:val="21"/>
              </w:rPr>
              <w:t xml:space="preserve">Procedimiento Fiscal. Honorarios de abogados, procuradores, agentes fiscales -apoderados y letrados patrocinantes- y de peritos del Fisco. Tasa de interés aplicable en caso de mora en el pago de los mismos </w:t>
            </w:r>
          </w:p>
          <w:p w:rsidR="0081031F" w:rsidRDefault="0081031F" w:rsidP="00F500D0">
            <w:pPr>
              <w:pStyle w:val="NormalWeb"/>
              <w:spacing w:before="0" w:beforeAutospacing="0" w:after="0" w:afterAutospacing="0"/>
              <w:jc w:val="both"/>
              <w:rPr>
                <w:rFonts w:ascii="Arial" w:hAnsi="Arial" w:cs="Arial"/>
                <w:b/>
                <w:bCs/>
                <w:caps/>
                <w:color w:val="376889"/>
                <w:sz w:val="21"/>
                <w:szCs w:val="21"/>
              </w:rPr>
            </w:pPr>
          </w:p>
          <w:p w:rsidR="0081031F" w:rsidRDefault="0081031F" w:rsidP="0081031F">
            <w:pPr>
              <w:pStyle w:val="NormalWeb"/>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20"/>
                <w:szCs w:val="20"/>
              </w:rPr>
              <w:t xml:space="preserve">La AFIP establece que, a partir del 10/7/2019, se utilizará la tasa pasiva promedio del Banco Central de la República Argentina para calcular los intereses en caso de mora en el pago de honorarios estimados administrativamente correspondientes a procuradores, agentes fiscales, representantes del Fisco, abogados u otros funcionarios que se desempeñen en carácter de apoderados y/o letrados </w:t>
            </w:r>
            <w:proofErr w:type="spellStart"/>
            <w:r>
              <w:rPr>
                <w:rFonts w:ascii="Arial" w:eastAsia="Times New Roman" w:hAnsi="Arial" w:cs="Arial"/>
                <w:color w:val="666666"/>
                <w:sz w:val="20"/>
                <w:szCs w:val="20"/>
              </w:rPr>
              <w:t>patrocinantes</w:t>
            </w:r>
            <w:proofErr w:type="spellEnd"/>
            <w:r>
              <w:rPr>
                <w:rFonts w:ascii="Arial" w:eastAsia="Times New Roman" w:hAnsi="Arial" w:cs="Arial"/>
                <w:color w:val="666666"/>
                <w:sz w:val="20"/>
                <w:szCs w:val="20"/>
              </w:rPr>
              <w:t xml:space="preserve"> del Organismo</w:t>
            </w:r>
          </w:p>
          <w:p w:rsidR="0081031F" w:rsidRPr="0081031F" w:rsidRDefault="0081031F" w:rsidP="00F500D0">
            <w:pPr>
              <w:pStyle w:val="NormalWeb"/>
              <w:spacing w:before="0" w:beforeAutospacing="0" w:after="0" w:afterAutospacing="0"/>
              <w:jc w:val="both"/>
              <w:rPr>
                <w:rFonts w:ascii="Arial" w:hAnsi="Arial" w:cs="Arial"/>
                <w:b/>
                <w:bCs/>
                <w:caps/>
                <w:color w:val="002F5D"/>
                <w:sz w:val="21"/>
                <w:szCs w:val="21"/>
              </w:rPr>
            </w:pPr>
          </w:p>
          <w:p w:rsidR="0081031F" w:rsidRPr="0081031F" w:rsidRDefault="0081031F" w:rsidP="0081031F">
            <w:pPr>
              <w:pStyle w:val="NormalWeb"/>
              <w:spacing w:before="0" w:beforeAutospacing="0" w:after="0" w:afterAutospacing="0"/>
              <w:jc w:val="both"/>
              <w:rPr>
                <w:rFonts w:ascii="Arial" w:hAnsi="Arial" w:cs="Arial"/>
                <w:b/>
                <w:bCs/>
                <w:caps/>
                <w:color w:val="002F5D"/>
                <w:sz w:val="21"/>
                <w:szCs w:val="21"/>
              </w:rPr>
            </w:pPr>
            <w:r w:rsidRPr="0081031F">
              <w:rPr>
                <w:rFonts w:ascii="Arial" w:hAnsi="Arial" w:cs="Arial"/>
                <w:b/>
                <w:bCs/>
                <w:caps/>
                <w:color w:val="002F5D"/>
                <w:sz w:val="21"/>
                <w:szCs w:val="21"/>
              </w:rPr>
              <w:t>MONOTRIBUTO</w:t>
            </w:r>
          </w:p>
          <w:p w:rsidR="0081031F" w:rsidRDefault="0081031F" w:rsidP="0081031F">
            <w:pPr>
              <w:pStyle w:val="NormalWeb"/>
              <w:spacing w:before="0" w:beforeAutospacing="0" w:after="0" w:afterAutospacing="0"/>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H</w:t>
            </w:r>
            <w:r w:rsidRPr="0081031F">
              <w:rPr>
                <w:rFonts w:ascii="Arial" w:eastAsia="Times New Roman" w:hAnsi="Arial" w:cs="Arial"/>
                <w:color w:val="666666"/>
                <w:sz w:val="20"/>
                <w:szCs w:val="20"/>
              </w:rPr>
              <w:t>asta el lunes 22 de julio hay tiempo para realizar la recategorización semestral del régimen simplificado para pequeños contribuyentes con relación al semestre concluido el 30 de junio de 2019</w:t>
            </w:r>
          </w:p>
          <w:p w:rsidR="0081031F" w:rsidRPr="0081031F" w:rsidRDefault="0081031F" w:rsidP="0081031F">
            <w:pPr>
              <w:pStyle w:val="NormalWeb"/>
              <w:spacing w:before="0" w:beforeAutospacing="0" w:after="0" w:afterAutospacing="0"/>
              <w:jc w:val="both"/>
              <w:rPr>
                <w:rFonts w:ascii="Arial" w:eastAsia="Times New Roman" w:hAnsi="Arial" w:cs="Arial"/>
                <w:color w:val="666666"/>
                <w:sz w:val="20"/>
                <w:szCs w:val="20"/>
              </w:rPr>
            </w:pPr>
          </w:p>
          <w:p w:rsidR="0081031F" w:rsidRDefault="0081031F" w:rsidP="0081031F">
            <w:pPr>
              <w:pStyle w:val="NormalWeb"/>
              <w:spacing w:before="0" w:beforeAutospacing="0" w:after="0" w:afterAutospacing="0"/>
              <w:jc w:val="both"/>
              <w:rPr>
                <w:rFonts w:ascii="Arial" w:eastAsia="Times New Roman" w:hAnsi="Arial" w:cs="Arial"/>
                <w:color w:val="666666"/>
                <w:sz w:val="16"/>
                <w:szCs w:val="16"/>
              </w:rPr>
            </w:pPr>
          </w:p>
          <w:p w:rsidR="0081031F" w:rsidRPr="0081031F" w:rsidRDefault="00F500D0" w:rsidP="0081031F">
            <w:pPr>
              <w:pStyle w:val="NormalWeb"/>
              <w:spacing w:before="0" w:beforeAutospacing="0" w:after="0" w:afterAutospacing="0"/>
              <w:jc w:val="both"/>
              <w:rPr>
                <w:rFonts w:ascii="Arial" w:hAnsi="Arial" w:cs="Arial"/>
                <w:b/>
                <w:bCs/>
                <w:caps/>
                <w:color w:val="002F5D"/>
                <w:sz w:val="21"/>
                <w:szCs w:val="21"/>
              </w:rPr>
            </w:pPr>
            <w:r w:rsidRPr="0081031F">
              <w:rPr>
                <w:rFonts w:ascii="Arial" w:hAnsi="Arial" w:cs="Arial"/>
                <w:b/>
                <w:bCs/>
                <w:caps/>
                <w:color w:val="002F5D"/>
                <w:sz w:val="21"/>
                <w:szCs w:val="21"/>
              </w:rPr>
              <w:t xml:space="preserve">Santa Fe. </w:t>
            </w:r>
          </w:p>
          <w:p w:rsidR="0081031F" w:rsidRDefault="0081031F" w:rsidP="0081031F">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lastRenderedPageBreak/>
              <w:t xml:space="preserve">Inspección de Personas Jurídicas. Presentación de estados contables. Trámite digital - </w:t>
            </w:r>
            <w:r w:rsidRPr="0081031F">
              <w:rPr>
                <w:rFonts w:ascii="Arial" w:hAnsi="Arial" w:cs="Arial"/>
                <w:b/>
                <w:bCs/>
                <w:caps/>
                <w:color w:val="002F5D"/>
                <w:sz w:val="21"/>
                <w:szCs w:val="21"/>
              </w:rPr>
              <w:t>RESOLUCIÓN (</w:t>
            </w:r>
            <w:proofErr w:type="spellStart"/>
            <w:r w:rsidRPr="0081031F">
              <w:rPr>
                <w:rFonts w:ascii="Arial" w:hAnsi="Arial" w:cs="Arial"/>
                <w:b/>
                <w:bCs/>
                <w:caps/>
                <w:color w:val="002F5D"/>
                <w:sz w:val="21"/>
                <w:szCs w:val="21"/>
              </w:rPr>
              <w:t>Insp</w:t>
            </w:r>
            <w:proofErr w:type="spellEnd"/>
            <w:r w:rsidRPr="0081031F">
              <w:rPr>
                <w:rFonts w:ascii="Arial" w:hAnsi="Arial" w:cs="Arial"/>
                <w:b/>
                <w:bCs/>
                <w:caps/>
                <w:color w:val="002F5D"/>
                <w:sz w:val="21"/>
                <w:szCs w:val="21"/>
              </w:rPr>
              <w:t>. Gral. Personas Jurídicas Santa Fe) 1/2019</w:t>
            </w:r>
          </w:p>
          <w:p w:rsidR="00C063FC" w:rsidRDefault="00C063FC" w:rsidP="00FD6DB7">
            <w:pPr>
              <w:spacing w:line="360" w:lineRule="auto"/>
              <w:rPr>
                <w:rFonts w:ascii="Arial" w:eastAsia="Times New Roman" w:hAnsi="Arial" w:cs="Arial"/>
                <w:color w:val="666666"/>
                <w:sz w:val="20"/>
                <w:szCs w:val="20"/>
              </w:rPr>
            </w:pPr>
          </w:p>
          <w:p w:rsidR="0081031F" w:rsidRDefault="0081031F" w:rsidP="00C063FC">
            <w:pPr>
              <w:spacing w:line="360" w:lineRule="auto"/>
              <w:rPr>
                <w:rFonts w:ascii="Arial" w:eastAsia="Times New Roman" w:hAnsi="Arial" w:cs="Arial"/>
                <w:color w:val="666666"/>
                <w:sz w:val="20"/>
                <w:szCs w:val="20"/>
              </w:rPr>
            </w:pPr>
            <w:r>
              <w:rPr>
                <w:rFonts w:ascii="Arial" w:eastAsia="Times New Roman" w:hAnsi="Arial" w:cs="Arial"/>
                <w:color w:val="666666"/>
                <w:sz w:val="20"/>
                <w:szCs w:val="20"/>
              </w:rPr>
              <w:t>Se establecen los requisitos y procedimientos que se deben tener en cuenta para la presentación de estados contables de las sociedades cuyos balances hayan sido aprobados por unanimidad y de manera digital, a través de la plataforma de Trámites a Distancia</w:t>
            </w:r>
          </w:p>
          <w:p w:rsidR="00F500D0" w:rsidRDefault="00BD76AD" w:rsidP="00C063FC">
            <w:pPr>
              <w:spacing w:line="360" w:lineRule="auto"/>
              <w:rPr>
                <w:rFonts w:ascii="Arial" w:eastAsia="Times New Roman" w:hAnsi="Arial" w:cs="Arial"/>
                <w:color w:val="666666"/>
                <w:sz w:val="20"/>
                <w:szCs w:val="20"/>
              </w:rPr>
            </w:pPr>
            <w:r w:rsidRPr="00FD6DB7">
              <w:rPr>
                <w:rFonts w:ascii="Arial" w:eastAsia="Times New Roman" w:hAnsi="Arial" w:cs="Arial"/>
                <w:color w:val="666666"/>
                <w:sz w:val="20"/>
                <w:szCs w:val="20"/>
              </w:rPr>
              <w:t xml:space="preserve"> </w:t>
            </w:r>
          </w:p>
          <w:p w:rsidR="0081031F" w:rsidRPr="0081031F" w:rsidRDefault="0081031F" w:rsidP="0081031F">
            <w:pPr>
              <w:pStyle w:val="NormalWeb"/>
              <w:spacing w:before="0" w:beforeAutospacing="0" w:after="0" w:afterAutospacing="0"/>
              <w:jc w:val="center"/>
              <w:rPr>
                <w:rFonts w:ascii="Arial" w:hAnsi="Arial" w:cs="Arial"/>
                <w:b/>
                <w:bCs/>
                <w:caps/>
                <w:color w:val="7E4F6F"/>
              </w:rPr>
            </w:pPr>
            <w:r w:rsidRPr="0081031F">
              <w:rPr>
                <w:rFonts w:ascii="Arial" w:hAnsi="Arial" w:cs="Arial"/>
                <w:b/>
                <w:bCs/>
                <w:caps/>
                <w:color w:val="7E4F6F"/>
              </w:rPr>
              <w:t>LABORALES - PREVISIONALES</w:t>
            </w:r>
          </w:p>
          <w:p w:rsidR="0081031F" w:rsidRDefault="0081031F" w:rsidP="00F500D0">
            <w:pPr>
              <w:pStyle w:val="NormalWeb"/>
              <w:spacing w:before="0" w:beforeAutospacing="0" w:after="0" w:afterAutospacing="0"/>
              <w:jc w:val="both"/>
              <w:rPr>
                <w:rFonts w:ascii="Arial" w:hAnsi="Arial" w:cs="Arial"/>
                <w:b/>
                <w:bCs/>
                <w:caps/>
                <w:color w:val="7F870A"/>
                <w:sz w:val="18"/>
                <w:szCs w:val="18"/>
              </w:rPr>
            </w:pPr>
          </w:p>
          <w:p w:rsidR="0081031F" w:rsidRPr="0081031F" w:rsidRDefault="0081031F" w:rsidP="0081031F">
            <w:pPr>
              <w:pStyle w:val="NormalWeb"/>
              <w:spacing w:before="0" w:beforeAutospacing="0" w:after="0" w:afterAutospacing="0"/>
              <w:jc w:val="both"/>
              <w:rPr>
                <w:rFonts w:ascii="Arial" w:hAnsi="Arial" w:cs="Arial"/>
                <w:b/>
                <w:bCs/>
                <w:color w:val="7E4F6F"/>
                <w:sz w:val="20"/>
                <w:szCs w:val="20"/>
              </w:rPr>
            </w:pPr>
            <w:r w:rsidRPr="0081031F">
              <w:rPr>
                <w:rFonts w:ascii="Arial" w:hAnsi="Arial" w:cs="Arial"/>
                <w:b/>
                <w:bCs/>
                <w:color w:val="7E4F6F"/>
                <w:sz w:val="20"/>
                <w:szCs w:val="20"/>
              </w:rPr>
              <w:t>DÍAS NO LABORABLES CON FINES TURÍSTICOS. LUNES 8 DE JULIO DE 2019</w:t>
            </w:r>
          </w:p>
          <w:p w:rsidR="0081031F" w:rsidRDefault="0081031F" w:rsidP="0081031F">
            <w:pPr>
              <w:jc w:val="center"/>
              <w:rPr>
                <w:rFonts w:ascii="Arial" w:eastAsia="Times New Roman" w:hAnsi="Arial" w:cs="Arial"/>
                <w:color w:val="666666"/>
                <w:sz w:val="17"/>
                <w:szCs w:val="17"/>
              </w:rPr>
            </w:pPr>
          </w:p>
          <w:p w:rsidR="0081031F" w:rsidRDefault="0081031F" w:rsidP="0081031F">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El día 8 de julio de 2019, ¿es feriado puente o es día no laborable?</w:t>
            </w:r>
          </w:p>
          <w:p w:rsidR="0081031F" w:rsidRDefault="0081031F" w:rsidP="0081031F">
            <w:pPr>
              <w:pStyle w:val="NormalWeb"/>
              <w:spacing w:before="0" w:beforeAutospacing="0" w:after="0" w:afterAutospacing="0"/>
              <w:jc w:val="both"/>
              <w:rPr>
                <w:rFonts w:ascii="Arial" w:hAnsi="Arial" w:cs="Arial"/>
                <w:b/>
                <w:bCs/>
                <w:color w:val="7E4F6F"/>
                <w:sz w:val="20"/>
                <w:szCs w:val="20"/>
              </w:rPr>
            </w:pPr>
          </w:p>
          <w:p w:rsidR="0081031F" w:rsidRDefault="0081031F" w:rsidP="0081031F">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El próximo 8 de julio fue decretado día no laborable con fines turísticos (D. 923/2017, art. 1). De acuerdo a lo dispuesto por el artículo 167 de la ley de contrato de trabajo, “en los días no laborables, el trabajo será optativo para el empleador, salvo en bancos, seguros y actividades afines, conforme lo determine la reglamentación. En dichos días, los trabajadores que presten servicio percibirán el salario simple. En caso de optar el empleador como día no laborable, el jornal será igualmente abonado al trabajador.</w:t>
            </w:r>
          </w:p>
          <w:p w:rsidR="0081031F" w:rsidRDefault="0081031F" w:rsidP="0081031F">
            <w:pPr>
              <w:pStyle w:val="NormalWeb"/>
              <w:spacing w:before="0" w:beforeAutospacing="0" w:after="0" w:afterAutospacing="0"/>
              <w:jc w:val="both"/>
              <w:rPr>
                <w:rFonts w:ascii="Arial" w:eastAsia="Times New Roman" w:hAnsi="Arial" w:cs="Arial"/>
                <w:color w:val="666666"/>
                <w:sz w:val="20"/>
                <w:szCs w:val="20"/>
              </w:rPr>
            </w:pPr>
          </w:p>
          <w:p w:rsidR="0081031F" w:rsidRDefault="0081031F" w:rsidP="0081031F">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CONTRIBUCIÓN INACAP. INCREMENTO A PARTIR DE MAYO DE 2019</w:t>
            </w:r>
          </w:p>
          <w:p w:rsidR="0081031F" w:rsidRDefault="0081031F" w:rsidP="0081031F">
            <w:pPr>
              <w:pStyle w:val="NormalWeb"/>
              <w:spacing w:before="0" w:beforeAutospacing="0" w:after="0" w:afterAutospacing="0"/>
              <w:jc w:val="both"/>
              <w:rPr>
                <w:rFonts w:ascii="Arial" w:hAnsi="Arial" w:cs="Arial"/>
                <w:b/>
                <w:bCs/>
                <w:caps/>
                <w:color w:val="7F870A"/>
                <w:sz w:val="18"/>
                <w:szCs w:val="18"/>
              </w:rPr>
            </w:pPr>
          </w:p>
          <w:p w:rsidR="0081031F" w:rsidRDefault="0081031F" w:rsidP="0081031F">
            <w:pPr>
              <w:spacing w:after="240" w:line="360" w:lineRule="auto"/>
              <w:jc w:val="both"/>
              <w:rPr>
                <w:rFonts w:ascii="Arial" w:eastAsia="Times New Roman" w:hAnsi="Arial" w:cs="Arial"/>
                <w:color w:val="666666"/>
                <w:sz w:val="20"/>
                <w:szCs w:val="20"/>
              </w:rPr>
            </w:pPr>
            <w:r w:rsidRPr="0081031F">
              <w:rPr>
                <w:rFonts w:ascii="Arial" w:eastAsia="Times New Roman" w:hAnsi="Arial" w:cs="Arial"/>
                <w:color w:val="666666"/>
                <w:sz w:val="20"/>
                <w:szCs w:val="20"/>
              </w:rPr>
              <w:t>El martes 28 de mayo de 2019 se firmó un nuevo Acuerdo salarial, el cual dispone un aumento bimestral sobre los salarios básicos vigentes a marzo de 2019, fijándose los mismos sobre las grillas salariales acordadas respecto de la categoría Maestranza “A” Inicial del citado Acuerdo.</w:t>
            </w:r>
          </w:p>
          <w:p w:rsidR="0081031F" w:rsidRDefault="0081031F" w:rsidP="0081031F">
            <w:pPr>
              <w:pStyle w:val="NormalWeb"/>
              <w:spacing w:before="0" w:beforeAutospacing="0" w:after="0" w:afterAutospacing="0"/>
              <w:jc w:val="both"/>
              <w:rPr>
                <w:rFonts w:ascii="Arial" w:hAnsi="Arial" w:cs="Arial"/>
                <w:b/>
                <w:bCs/>
                <w:caps/>
                <w:color w:val="7F870A"/>
                <w:sz w:val="18"/>
                <w:szCs w:val="18"/>
              </w:rPr>
            </w:pPr>
          </w:p>
          <w:p w:rsidR="0081031F" w:rsidRPr="0081031F" w:rsidRDefault="0081031F" w:rsidP="0081031F">
            <w:pPr>
              <w:pStyle w:val="NormalWeb"/>
              <w:spacing w:before="0" w:beforeAutospacing="0" w:after="0" w:afterAutospacing="0"/>
              <w:jc w:val="both"/>
              <w:rPr>
                <w:rFonts w:ascii="Arial" w:hAnsi="Arial" w:cs="Arial"/>
                <w:b/>
                <w:bCs/>
                <w:caps/>
                <w:color w:val="7F870A"/>
                <w:sz w:val="22"/>
                <w:szCs w:val="22"/>
              </w:rPr>
            </w:pPr>
            <w:r w:rsidRPr="0081031F">
              <w:rPr>
                <w:rFonts w:ascii="Arial" w:hAnsi="Arial" w:cs="Arial"/>
                <w:b/>
                <w:bCs/>
                <w:caps/>
                <w:color w:val="7F870A"/>
                <w:sz w:val="22"/>
                <w:szCs w:val="22"/>
              </w:rPr>
              <w:t>Banco Central de la República Argentina. Cheque electrónico</w:t>
            </w:r>
          </w:p>
          <w:p w:rsidR="0081031F" w:rsidRDefault="0081031F" w:rsidP="0081031F">
            <w:pPr>
              <w:pStyle w:val="NormalWeb"/>
              <w:spacing w:before="0" w:beforeAutospacing="0" w:after="0" w:afterAutospacing="0"/>
              <w:jc w:val="both"/>
              <w:rPr>
                <w:rFonts w:ascii="Arial" w:hAnsi="Arial" w:cs="Arial"/>
                <w:b/>
                <w:bCs/>
                <w:caps/>
                <w:color w:val="7F870A"/>
                <w:sz w:val="18"/>
                <w:szCs w:val="18"/>
              </w:rPr>
            </w:pPr>
          </w:p>
          <w:p w:rsidR="0081031F" w:rsidRDefault="0081031F" w:rsidP="0081031F">
            <w:pPr>
              <w:spacing w:line="360" w:lineRule="auto"/>
              <w:jc w:val="both"/>
              <w:rPr>
                <w:rFonts w:ascii="Arial" w:eastAsia="Times New Roman" w:hAnsi="Arial" w:cs="Arial"/>
                <w:color w:val="666666"/>
                <w:sz w:val="20"/>
                <w:szCs w:val="20"/>
              </w:rPr>
            </w:pPr>
            <w:r w:rsidRPr="0081031F">
              <w:rPr>
                <w:rFonts w:ascii="Arial" w:eastAsia="Times New Roman" w:hAnsi="Arial" w:cs="Arial"/>
                <w:color w:val="666666"/>
                <w:sz w:val="20"/>
                <w:szCs w:val="20"/>
              </w:rPr>
              <w:t>En el marco de las Comunicaciones A (BCRA) 6725, 6726 y 6727, recordamos que desde el 1 de julio rige la operatoria del cheque electrónico (ECHEQ), a través de la cual los usuarios podrán hacer y recibir cheques generados a través de canales electrónicos.</w:t>
            </w:r>
          </w:p>
          <w:p w:rsidR="0081031F" w:rsidRPr="0081031F" w:rsidRDefault="0081031F" w:rsidP="0081031F">
            <w:pPr>
              <w:spacing w:line="360" w:lineRule="auto"/>
              <w:jc w:val="both"/>
              <w:rPr>
                <w:rFonts w:ascii="Arial" w:eastAsia="Times New Roman" w:hAnsi="Arial" w:cs="Arial"/>
                <w:color w:val="666666"/>
                <w:sz w:val="20"/>
                <w:szCs w:val="20"/>
              </w:rPr>
            </w:pPr>
            <w:r w:rsidRPr="0081031F">
              <w:rPr>
                <w:rFonts w:ascii="Arial" w:eastAsia="Times New Roman" w:hAnsi="Arial" w:cs="Arial"/>
                <w:color w:val="666666"/>
                <w:sz w:val="20"/>
                <w:szCs w:val="20"/>
              </w:rPr>
              <w:t>El ECHEQ será realizado y circulará por medios electrónicos, a través de entidades financieras o de las infraestructuras del mercado financiero autorizadas, siendo su emisión y depósito funciones exclusivas de las entidades financieras</w:t>
            </w:r>
          </w:p>
          <w:p w:rsidR="00BD76AD" w:rsidRDefault="00BD76AD" w:rsidP="00F500D0">
            <w:pPr>
              <w:spacing w:line="360" w:lineRule="auto"/>
              <w:jc w:val="both"/>
              <w:rPr>
                <w:rFonts w:ascii="Arial" w:eastAsia="Times New Roman" w:hAnsi="Arial" w:cs="Arial"/>
                <w:color w:val="666666"/>
                <w:sz w:val="20"/>
                <w:szCs w:val="20"/>
              </w:rPr>
            </w:pPr>
          </w:p>
          <w:p w:rsidR="001640C9" w:rsidRDefault="001640C9" w:rsidP="001640C9">
            <w:pPr>
              <w:pStyle w:val="NormalWeb"/>
              <w:spacing w:before="0" w:beforeAutospacing="0" w:after="0" w:afterAutospacing="0"/>
              <w:jc w:val="both"/>
              <w:rPr>
                <w:rFonts w:ascii="Arial" w:hAnsi="Arial" w:cs="Arial"/>
                <w:b/>
                <w:bCs/>
                <w:caps/>
                <w:color w:val="376889"/>
                <w:sz w:val="21"/>
                <w:szCs w:val="21"/>
              </w:rPr>
            </w:pPr>
          </w:p>
          <w:p w:rsidR="00BD76AD" w:rsidRDefault="00BD76AD" w:rsidP="00C063FC">
            <w:pPr>
              <w:spacing w:line="360" w:lineRule="auto"/>
              <w:rPr>
                <w:rFonts w:ascii="Arial" w:eastAsia="Times New Roman" w:hAnsi="Arial" w:cs="Arial"/>
                <w:color w:val="666666"/>
                <w:sz w:val="20"/>
                <w:szCs w:val="20"/>
              </w:rPr>
            </w:pPr>
          </w:p>
        </w:tc>
      </w:tr>
      <w:tr w:rsidR="00FD6DB7" w:rsidTr="00001565">
        <w:trPr>
          <w:trHeight w:val="2404"/>
          <w:tblCellSpacing w:w="37" w:type="dxa"/>
        </w:trPr>
        <w:tc>
          <w:tcPr>
            <w:tcW w:w="4916" w:type="pct"/>
            <w:hideMark/>
          </w:tcPr>
          <w:p w:rsidR="00FD6DB7" w:rsidRPr="00001565" w:rsidRDefault="00FD6DB7" w:rsidP="00001565">
            <w:pPr>
              <w:pStyle w:val="NormalWeb"/>
              <w:spacing w:before="0" w:beforeAutospacing="0" w:after="0" w:afterAutospacing="0"/>
              <w:jc w:val="center"/>
              <w:rPr>
                <w:rFonts w:ascii="Arial" w:hAnsi="Arial" w:cs="Arial"/>
                <w:b/>
                <w:bCs/>
                <w:color w:val="7E4F6F"/>
              </w:rPr>
            </w:pPr>
          </w:p>
        </w:tc>
      </w:tr>
      <w:tr w:rsidR="00BD76AD" w:rsidTr="00001565">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r w:rsidR="00BD76AD" w:rsidTr="00001565">
        <w:trPr>
          <w:trHeight w:val="2404"/>
          <w:tblCellSpacing w:w="37" w:type="dxa"/>
        </w:trPr>
        <w:tc>
          <w:tcPr>
            <w:tcW w:w="4916" w:type="pct"/>
          </w:tcPr>
          <w:p w:rsidR="00BD76AD" w:rsidRPr="00001565" w:rsidRDefault="00BD76AD"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AD" w:rsidRDefault="00BD76AD" w:rsidP="00A22916">
      <w:r>
        <w:separator/>
      </w:r>
    </w:p>
  </w:endnote>
  <w:endnote w:type="continuationSeparator" w:id="0">
    <w:p w:rsidR="00BD76AD" w:rsidRDefault="00BD76A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81031F" w:rsidRPr="0081031F">
        <w:rPr>
          <w:rFonts w:asciiTheme="majorHAnsi" w:hAnsiTheme="majorHAnsi"/>
          <w:noProof/>
        </w:rPr>
        <w:t>1</w:t>
      </w:r>
    </w:fldSimple>
  </w:p>
  <w:p w:rsidR="00BD76AD" w:rsidRDefault="00BD76AD" w:rsidP="0063669F">
    <w:pPr>
      <w:pStyle w:val="Piedepgina"/>
    </w:pPr>
  </w:p>
  <w:p w:rsidR="00BD76AD" w:rsidRDefault="00BD76AD" w:rsidP="0063669F">
    <w:pPr>
      <w:pStyle w:val="Piedepgina"/>
    </w:pPr>
  </w:p>
  <w:p w:rsidR="00BD76AD" w:rsidRDefault="00BD76A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AD" w:rsidRDefault="00BD76AD" w:rsidP="00A22916">
      <w:r>
        <w:separator/>
      </w:r>
    </w:p>
  </w:footnote>
  <w:footnote w:type="continuationSeparator" w:id="0">
    <w:p w:rsidR="00BD76AD" w:rsidRDefault="00BD76A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AD" w:rsidRDefault="00BD76A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w:t>
    </w:r>
    <w:r w:rsidR="0081031F">
      <w:rPr>
        <w:b/>
        <w:sz w:val="40"/>
        <w:szCs w:val="40"/>
      </w:rPr>
      <w:t>7</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9"/>
  </w:num>
  <w:num w:numId="8">
    <w:abstractNumId w:val="18"/>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
  </w:num>
  <w:num w:numId="21">
    <w:abstractNumId w:val="4"/>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24C56-C2DD-475E-81D1-E98BBC67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2019-07-05T22:57:00Z</dcterms:created>
  <dcterms:modified xsi:type="dcterms:W3CDTF">2019-07-05T23:08:00Z</dcterms:modified>
</cp:coreProperties>
</file>